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28E01" w14:textId="77777777" w:rsidR="00AF591D" w:rsidRPr="00AF591D" w:rsidRDefault="00AF591D" w:rsidP="00AF591D">
      <w:pPr>
        <w:jc w:val="right"/>
        <w:rPr>
          <w:rFonts w:asciiTheme="majorBidi" w:eastAsiaTheme="minorHAnsi" w:hAnsiTheme="majorBidi" w:cstheme="majorBidi"/>
          <w:sz w:val="24"/>
          <w:szCs w:val="24"/>
          <w:lang w:eastAsia="en-US"/>
        </w:rPr>
      </w:pPr>
      <w:bookmarkStart w:id="0" w:name="_GoBack"/>
      <w:bookmarkEnd w:id="0"/>
      <w:r w:rsidRPr="00AF591D">
        <w:rPr>
          <w:rFonts w:asciiTheme="majorBidi" w:eastAsiaTheme="minorHAnsi" w:hAnsiTheme="majorBidi" w:cstheme="majorBidi"/>
          <w:sz w:val="24"/>
          <w:szCs w:val="24"/>
          <w:lang w:eastAsia="en-US"/>
        </w:rPr>
        <w:t>*</w:t>
      </w:r>
      <w:proofErr w:type="gramStart"/>
      <w:r w:rsidRPr="00AF591D">
        <w:rPr>
          <w:rFonts w:asciiTheme="majorBidi" w:eastAsiaTheme="minorHAnsi" w:hAnsiTheme="majorBidi" w:cstheme="majorBidi"/>
          <w:sz w:val="24"/>
          <w:szCs w:val="24"/>
          <w:lang w:eastAsia="en-US"/>
        </w:rPr>
        <w:t>*.*</w:t>
      </w:r>
      <w:proofErr w:type="gramEnd"/>
      <w:r w:rsidRPr="00AF591D">
        <w:rPr>
          <w:rFonts w:asciiTheme="majorBidi" w:eastAsiaTheme="minorHAnsi" w:hAnsiTheme="majorBidi" w:cstheme="majorBidi"/>
          <w:sz w:val="24"/>
          <w:szCs w:val="24"/>
          <w:lang w:eastAsia="en-US"/>
        </w:rPr>
        <w:t>*.2020</w:t>
      </w:r>
    </w:p>
    <w:p w14:paraId="363E75AF" w14:textId="77777777" w:rsidR="00AF591D" w:rsidRPr="00AF591D" w:rsidRDefault="00AF591D" w:rsidP="00AF591D">
      <w:pPr>
        <w:jc w:val="center"/>
        <w:rPr>
          <w:rFonts w:asciiTheme="majorBidi" w:eastAsiaTheme="minorHAnsi" w:hAnsiTheme="majorBidi" w:cstheme="majorBidi"/>
          <w:b/>
          <w:bCs/>
          <w:sz w:val="24"/>
          <w:szCs w:val="24"/>
          <w:lang w:eastAsia="en-US"/>
        </w:rPr>
      </w:pPr>
      <w:r w:rsidRPr="00AF591D">
        <w:rPr>
          <w:rFonts w:asciiTheme="majorBidi" w:eastAsiaTheme="minorHAnsi" w:hAnsiTheme="majorBidi" w:cstheme="majorBidi"/>
          <w:b/>
          <w:bCs/>
          <w:sz w:val="24"/>
          <w:szCs w:val="24"/>
          <w:lang w:eastAsia="en-US"/>
        </w:rPr>
        <w:t xml:space="preserve">TİCARİ UYUŞMAZLIKLARDA DAVA ŞARTI ARABULUCULUK SÜRECİNE </w:t>
      </w:r>
    </w:p>
    <w:p w14:paraId="153592B1" w14:textId="77777777" w:rsidR="00AF591D" w:rsidRPr="00AF591D" w:rsidRDefault="00AF591D" w:rsidP="00AF591D">
      <w:pPr>
        <w:jc w:val="center"/>
        <w:rPr>
          <w:rFonts w:asciiTheme="majorBidi" w:eastAsiaTheme="minorHAnsi" w:hAnsiTheme="majorBidi" w:cstheme="majorBidi"/>
          <w:b/>
          <w:bCs/>
          <w:sz w:val="24"/>
          <w:szCs w:val="24"/>
          <w:lang w:eastAsia="en-US"/>
        </w:rPr>
      </w:pPr>
      <w:r w:rsidRPr="00AF591D">
        <w:rPr>
          <w:rFonts w:asciiTheme="majorBidi" w:eastAsiaTheme="minorHAnsi" w:hAnsiTheme="majorBidi" w:cstheme="majorBidi"/>
          <w:b/>
          <w:bCs/>
          <w:sz w:val="24"/>
          <w:szCs w:val="24"/>
          <w:lang w:eastAsia="en-US"/>
        </w:rPr>
        <w:t>DAVET MEKTUBU</w:t>
      </w:r>
    </w:p>
    <w:p w14:paraId="43495B27" w14:textId="77777777" w:rsidR="00AF591D" w:rsidRPr="00AF591D" w:rsidRDefault="00AF591D" w:rsidP="00AF591D">
      <w:pPr>
        <w:jc w:val="both"/>
        <w:rPr>
          <w:rFonts w:asciiTheme="majorBidi" w:eastAsiaTheme="minorHAnsi" w:hAnsiTheme="majorBidi" w:cstheme="majorBidi"/>
          <w:sz w:val="24"/>
          <w:szCs w:val="24"/>
          <w:lang w:eastAsia="en-US"/>
        </w:rPr>
      </w:pPr>
    </w:p>
    <w:p w14:paraId="703AD29D" w14:textId="77777777" w:rsidR="00AF591D" w:rsidRPr="00AF591D" w:rsidRDefault="00AF591D" w:rsidP="00AF591D">
      <w:pPr>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b/>
          <w:bCs/>
          <w:sz w:val="24"/>
          <w:szCs w:val="24"/>
          <w:u w:val="single"/>
          <w:lang w:eastAsia="en-US"/>
        </w:rPr>
        <w:t>Dosya Numarası</w:t>
      </w:r>
      <w:r w:rsidRPr="00AF591D">
        <w:rPr>
          <w:rFonts w:asciiTheme="majorBidi" w:eastAsiaTheme="minorHAnsi" w:hAnsiTheme="majorBidi" w:cstheme="majorBidi"/>
          <w:b/>
          <w:bCs/>
          <w:sz w:val="24"/>
          <w:szCs w:val="24"/>
          <w:u w:val="single"/>
          <w:lang w:eastAsia="en-US"/>
        </w:rPr>
        <w:tab/>
      </w:r>
      <w:r w:rsidRPr="00AF591D">
        <w:rPr>
          <w:rFonts w:asciiTheme="majorBidi" w:eastAsiaTheme="minorHAnsi" w:hAnsiTheme="majorBidi" w:cstheme="majorBidi"/>
          <w:b/>
          <w:bCs/>
          <w:sz w:val="24"/>
          <w:szCs w:val="24"/>
          <w:u w:val="single"/>
          <w:lang w:eastAsia="en-US"/>
        </w:rPr>
        <w:tab/>
        <w:t>:</w:t>
      </w:r>
      <w:r w:rsidRPr="00AF591D">
        <w:rPr>
          <w:rFonts w:asciiTheme="majorBidi" w:eastAsiaTheme="minorHAnsi" w:hAnsiTheme="majorBidi" w:cstheme="majorBidi"/>
          <w:sz w:val="24"/>
          <w:szCs w:val="24"/>
          <w:lang w:eastAsia="en-US"/>
        </w:rPr>
        <w:t xml:space="preserve"> 2020/***</w:t>
      </w:r>
    </w:p>
    <w:p w14:paraId="1BAEBD02" w14:textId="77777777" w:rsidR="00AF591D" w:rsidRPr="00AF591D" w:rsidRDefault="00AF591D" w:rsidP="00AF591D">
      <w:pPr>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b/>
          <w:bCs/>
          <w:sz w:val="24"/>
          <w:szCs w:val="24"/>
          <w:u w:val="single"/>
          <w:lang w:eastAsia="en-US"/>
        </w:rPr>
        <w:t>Başvuru Numarası</w:t>
      </w:r>
      <w:r w:rsidRPr="00AF591D">
        <w:rPr>
          <w:rFonts w:asciiTheme="majorBidi" w:eastAsiaTheme="minorHAnsi" w:hAnsiTheme="majorBidi" w:cstheme="majorBidi"/>
          <w:b/>
          <w:bCs/>
          <w:sz w:val="24"/>
          <w:szCs w:val="24"/>
          <w:u w:val="single"/>
          <w:lang w:eastAsia="en-US"/>
        </w:rPr>
        <w:tab/>
      </w:r>
      <w:r w:rsidRPr="00AF591D">
        <w:rPr>
          <w:rFonts w:asciiTheme="majorBidi" w:eastAsiaTheme="minorHAnsi" w:hAnsiTheme="majorBidi" w:cstheme="majorBidi"/>
          <w:b/>
          <w:bCs/>
          <w:sz w:val="24"/>
          <w:szCs w:val="24"/>
          <w:u w:val="single"/>
          <w:lang w:eastAsia="en-US"/>
        </w:rPr>
        <w:tab/>
        <w:t>:</w:t>
      </w:r>
      <w:r w:rsidRPr="00AF591D">
        <w:rPr>
          <w:rFonts w:asciiTheme="majorBidi" w:eastAsiaTheme="minorHAnsi" w:hAnsiTheme="majorBidi" w:cstheme="majorBidi"/>
          <w:sz w:val="24"/>
          <w:szCs w:val="24"/>
          <w:lang w:eastAsia="en-US"/>
        </w:rPr>
        <w:t xml:space="preserve"> 2020/***</w:t>
      </w:r>
    </w:p>
    <w:p w14:paraId="1995C5D4" w14:textId="77777777" w:rsidR="00AF591D" w:rsidRPr="00AF591D" w:rsidRDefault="00AF591D" w:rsidP="00AF591D">
      <w:pPr>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b/>
          <w:bCs/>
          <w:sz w:val="24"/>
          <w:szCs w:val="24"/>
          <w:u w:val="single"/>
          <w:lang w:eastAsia="en-US"/>
        </w:rPr>
        <w:t>Başvuru Tarihi</w:t>
      </w:r>
      <w:r w:rsidRPr="00AF591D">
        <w:rPr>
          <w:rFonts w:asciiTheme="majorBidi" w:eastAsiaTheme="minorHAnsi" w:hAnsiTheme="majorBidi" w:cstheme="majorBidi"/>
          <w:b/>
          <w:bCs/>
          <w:sz w:val="24"/>
          <w:szCs w:val="24"/>
          <w:u w:val="single"/>
          <w:lang w:eastAsia="en-US"/>
        </w:rPr>
        <w:tab/>
      </w:r>
      <w:r w:rsidRPr="00AF591D">
        <w:rPr>
          <w:rFonts w:asciiTheme="majorBidi" w:eastAsiaTheme="minorHAnsi" w:hAnsiTheme="majorBidi" w:cstheme="majorBidi"/>
          <w:b/>
          <w:bCs/>
          <w:sz w:val="24"/>
          <w:szCs w:val="24"/>
          <w:u w:val="single"/>
          <w:lang w:eastAsia="en-US"/>
        </w:rPr>
        <w:tab/>
        <w:t>:</w:t>
      </w:r>
      <w:r w:rsidRPr="00AF591D">
        <w:rPr>
          <w:rFonts w:asciiTheme="majorBidi" w:eastAsiaTheme="minorHAnsi" w:hAnsiTheme="majorBidi" w:cstheme="majorBidi"/>
          <w:sz w:val="24"/>
          <w:szCs w:val="24"/>
          <w:lang w:eastAsia="en-US"/>
        </w:rPr>
        <w:t xml:space="preserve"> *</w:t>
      </w:r>
      <w:proofErr w:type="gramStart"/>
      <w:r w:rsidRPr="00AF591D">
        <w:rPr>
          <w:rFonts w:asciiTheme="majorBidi" w:eastAsiaTheme="minorHAnsi" w:hAnsiTheme="majorBidi" w:cstheme="majorBidi"/>
          <w:sz w:val="24"/>
          <w:szCs w:val="24"/>
          <w:lang w:eastAsia="en-US"/>
        </w:rPr>
        <w:t>*.*</w:t>
      </w:r>
      <w:proofErr w:type="gramEnd"/>
      <w:r w:rsidRPr="00AF591D">
        <w:rPr>
          <w:rFonts w:asciiTheme="majorBidi" w:eastAsiaTheme="minorHAnsi" w:hAnsiTheme="majorBidi" w:cstheme="majorBidi"/>
          <w:sz w:val="24"/>
          <w:szCs w:val="24"/>
          <w:lang w:eastAsia="en-US"/>
        </w:rPr>
        <w:t>*.****</w:t>
      </w:r>
    </w:p>
    <w:p w14:paraId="21D3102A" w14:textId="77777777" w:rsidR="00AF591D" w:rsidRPr="00AF591D" w:rsidRDefault="00AF591D" w:rsidP="00AF591D">
      <w:pPr>
        <w:jc w:val="both"/>
        <w:rPr>
          <w:rFonts w:asciiTheme="majorBidi" w:eastAsiaTheme="minorHAnsi" w:hAnsiTheme="majorBidi" w:cstheme="majorBidi"/>
          <w:b/>
          <w:bCs/>
          <w:sz w:val="24"/>
          <w:szCs w:val="24"/>
          <w:lang w:eastAsia="en-US"/>
        </w:rPr>
      </w:pPr>
    </w:p>
    <w:p w14:paraId="7C79A470" w14:textId="3BE664BA" w:rsidR="00AF591D" w:rsidRPr="00AF591D" w:rsidRDefault="00AF591D" w:rsidP="00AF591D">
      <w:pPr>
        <w:jc w:val="center"/>
        <w:rPr>
          <w:rFonts w:asciiTheme="majorBidi" w:eastAsiaTheme="minorHAnsi" w:hAnsiTheme="majorBidi" w:cstheme="majorBidi"/>
          <w:b/>
          <w:bCs/>
          <w:sz w:val="24"/>
          <w:szCs w:val="24"/>
          <w:lang w:eastAsia="en-US"/>
        </w:rPr>
      </w:pPr>
      <w:r w:rsidRPr="00AF591D">
        <w:rPr>
          <w:rFonts w:asciiTheme="majorBidi" w:eastAsiaTheme="minorHAnsi" w:hAnsiTheme="majorBidi" w:cstheme="majorBidi"/>
          <w:b/>
          <w:bCs/>
          <w:sz w:val="24"/>
          <w:szCs w:val="24"/>
          <w:lang w:eastAsia="en-US"/>
        </w:rPr>
        <w:t xml:space="preserve">SAYIN </w:t>
      </w:r>
      <w:proofErr w:type="gramStart"/>
      <w:r w:rsidRPr="00AF591D">
        <w:rPr>
          <w:rFonts w:asciiTheme="majorBidi" w:eastAsiaTheme="minorHAnsi" w:hAnsiTheme="majorBidi" w:cstheme="majorBidi"/>
          <w:b/>
          <w:bCs/>
          <w:sz w:val="24"/>
          <w:szCs w:val="24"/>
          <w:lang w:eastAsia="en-US"/>
        </w:rPr>
        <w:t>AD -</w:t>
      </w:r>
      <w:proofErr w:type="gramEnd"/>
      <w:r w:rsidRPr="00AF591D">
        <w:rPr>
          <w:rFonts w:asciiTheme="majorBidi" w:eastAsiaTheme="minorHAnsi" w:hAnsiTheme="majorBidi" w:cstheme="majorBidi"/>
          <w:b/>
          <w:bCs/>
          <w:sz w:val="24"/>
          <w:szCs w:val="24"/>
          <w:lang w:eastAsia="en-US"/>
        </w:rPr>
        <w:t xml:space="preserve"> SOYAD Vekili AV. </w:t>
      </w:r>
      <w:r>
        <w:rPr>
          <w:rFonts w:asciiTheme="majorBidi" w:eastAsiaTheme="minorHAnsi" w:hAnsiTheme="majorBidi" w:cstheme="majorBidi"/>
          <w:b/>
          <w:bCs/>
          <w:sz w:val="24"/>
          <w:szCs w:val="24"/>
          <w:lang w:eastAsia="en-US"/>
        </w:rPr>
        <w:t>***</w:t>
      </w:r>
    </w:p>
    <w:p w14:paraId="61A64D74" w14:textId="76D1F5E6" w:rsidR="00AF591D" w:rsidRPr="00AF591D" w:rsidRDefault="00AF591D" w:rsidP="00AF591D">
      <w:pPr>
        <w:jc w:val="center"/>
        <w:rPr>
          <w:rFonts w:asciiTheme="majorBidi" w:eastAsiaTheme="minorHAnsi" w:hAnsiTheme="majorBidi" w:cstheme="majorBidi"/>
          <w:sz w:val="24"/>
          <w:szCs w:val="24"/>
          <w:lang w:eastAsia="en-US"/>
        </w:rPr>
      </w:pPr>
      <w:hyperlink r:id="rId6" w:history="1">
        <w:r w:rsidRPr="00AF591D">
          <w:rPr>
            <w:rFonts w:asciiTheme="majorBidi" w:eastAsiaTheme="minorHAnsi" w:hAnsiTheme="majorBidi" w:cstheme="majorBidi"/>
            <w:color w:val="0563C1" w:themeColor="hyperlink"/>
            <w:sz w:val="24"/>
            <w:szCs w:val="24"/>
            <w:u w:val="single"/>
            <w:lang w:eastAsia="en-US"/>
          </w:rPr>
          <w:t>@gmail.com</w:t>
        </w:r>
      </w:hyperlink>
      <w:r>
        <w:rPr>
          <w:rFonts w:asciiTheme="majorBidi" w:eastAsiaTheme="minorHAnsi" w:hAnsiTheme="majorBidi" w:cstheme="majorBidi"/>
          <w:color w:val="0563C1" w:themeColor="hyperlink"/>
          <w:sz w:val="24"/>
          <w:szCs w:val="24"/>
          <w:u w:val="single"/>
          <w:lang w:eastAsia="en-US"/>
        </w:rPr>
        <w:t xml:space="preserve"> / @hotmail.com</w:t>
      </w:r>
    </w:p>
    <w:p w14:paraId="3F18BD1C" w14:textId="77777777" w:rsidR="00AF591D" w:rsidRPr="00AF591D" w:rsidRDefault="00AF591D" w:rsidP="00AF591D">
      <w:pPr>
        <w:rPr>
          <w:rFonts w:asciiTheme="majorBidi" w:eastAsiaTheme="minorHAnsi" w:hAnsiTheme="majorBidi" w:cstheme="majorBidi"/>
          <w:b/>
          <w:bCs/>
          <w:sz w:val="24"/>
          <w:szCs w:val="24"/>
          <w:lang w:eastAsia="en-US"/>
        </w:rPr>
      </w:pPr>
    </w:p>
    <w:p w14:paraId="331BA068"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 ve *** vekilleri olan Av. *** tarafından *** Arabuluculuk Bürosuna yapılan başvuru üzerine UYAP Arabulucu Portal tarafından görevlendirilmiş T.C. Adalet Bakanlığı’ndaki resmi sicile kayıtlı *** sicil numaralı arabulucuyum.</w:t>
      </w:r>
    </w:p>
    <w:p w14:paraId="45E58954"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b/>
          <w:bCs/>
          <w:sz w:val="24"/>
          <w:szCs w:val="24"/>
          <w:lang w:eastAsia="en-US"/>
        </w:rPr>
        <w:t>Başvuranlar *** ile *** ve *** Arasındaki ***</w:t>
      </w:r>
      <w:r w:rsidRPr="00AF591D">
        <w:rPr>
          <w:rFonts w:asciiTheme="majorBidi" w:eastAsiaTheme="minorHAnsi" w:hAnsiTheme="majorBidi" w:cstheme="majorBidi"/>
          <w:sz w:val="24"/>
          <w:szCs w:val="24"/>
          <w:lang w:eastAsia="en-US"/>
        </w:rPr>
        <w:t xml:space="preserve"> kaynaklı hukuki uyuşmazlığınızı barışçıl olarak arabuluculuk yoluyla çözebilmeniz için işbu davet yazısını yazarak tarafınıza gönderiyoruz.</w:t>
      </w:r>
    </w:p>
    <w:p w14:paraId="11D2234D"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Hukuki uyuşmazlığınızın 6325 Sayılı Hukuk Uyuşmazlıklarında Arabuluculuk Kanunu kapsamında tarafların üzerinde serbestçe tasarruf edebileceği iş ve işlemlerden doğan özel hukuk uyuşmazlığı olduğu anlaşılmaktadır.</w:t>
      </w:r>
    </w:p>
    <w:p w14:paraId="45A0F4E6"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 xml:space="preserve">6102 sayılı Türk Ticaret Kanunu uyarınca ticari davalardan, konusu bir miktar paranın ödenmesi olan alacak ve tazminat talepleri hakkında dava açılmadan önce arabulucuya başvurulmuş olması dava şartıdır. (TTK. </w:t>
      </w:r>
      <w:proofErr w:type="spellStart"/>
      <w:r w:rsidRPr="00AF591D">
        <w:rPr>
          <w:rFonts w:asciiTheme="majorBidi" w:eastAsiaTheme="minorHAnsi" w:hAnsiTheme="majorBidi" w:cstheme="majorBidi"/>
          <w:sz w:val="24"/>
          <w:szCs w:val="24"/>
          <w:lang w:eastAsia="en-US"/>
        </w:rPr>
        <w:t>md.</w:t>
      </w:r>
      <w:proofErr w:type="spellEnd"/>
      <w:r w:rsidRPr="00AF591D">
        <w:rPr>
          <w:rFonts w:asciiTheme="majorBidi" w:eastAsiaTheme="minorHAnsi" w:hAnsiTheme="majorBidi" w:cstheme="majorBidi"/>
          <w:sz w:val="24"/>
          <w:szCs w:val="24"/>
          <w:lang w:eastAsia="en-US"/>
        </w:rPr>
        <w:t xml:space="preserve"> 5A/1)</w:t>
      </w:r>
    </w:p>
    <w:p w14:paraId="4ADFF0AC"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Arabuluculuk sürecinin daha verimli geçmesi için, arabuluculukla ilgili şu hususları bilgilerinize sunmak isterim.</w:t>
      </w:r>
    </w:p>
    <w:p w14:paraId="0C20DD84"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a) Arabulucu taraflar arasındaki hukuki uyuşmazlığın çözümünde tarafsız ve bağımsız bir üçüncü kişi olarak yer alır ve taraflar arasındaki iletişim ortamını kolaylaştırarak kendi çözümlerini kendilerinin üretmeleri konusunda onlara yardımcı olur. Tarafların çözüm üretemediklerinin ortaya çıkması halinde arabulucu bir çözüm önerisinde de bulunabilir.</w:t>
      </w:r>
    </w:p>
    <w:p w14:paraId="63DEBB10"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b) Arabuluculuk yoluyla uyuşmazlığın çözümü gönüllülük esasına dayalıdır. Taraflar, süreci devam ettirmek, sonuçlandırmak veya bu süreçten vazgeçmek konusunda serbesttirler.</w:t>
      </w:r>
    </w:p>
    <w:p w14:paraId="72BB31CC"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c) Arabuluculuk yoluyla uyuşmazlığın çözümü ekonomik, sosyal ve psikolojik bakımdan faydalıdır. Arabuluculuk süreci taraflar arasındaki ilişkilerin korunmasına yardımcı olur ve toplumsal barışa hizmet eder.</w:t>
      </w:r>
    </w:p>
    <w:p w14:paraId="127248E9" w14:textId="77777777" w:rsidR="00AF591D" w:rsidRPr="00AF591D" w:rsidRDefault="00AF591D" w:rsidP="00AF591D">
      <w:pPr>
        <w:ind w:firstLine="708"/>
        <w:jc w:val="both"/>
        <w:rPr>
          <w:rFonts w:asciiTheme="majorBidi" w:eastAsiaTheme="minorHAnsi" w:hAnsiTheme="majorBidi" w:cstheme="majorBidi"/>
          <w:sz w:val="24"/>
          <w:szCs w:val="24"/>
          <w:lang w:eastAsia="en-US"/>
        </w:rPr>
      </w:pPr>
      <w:proofErr w:type="gramStart"/>
      <w:r w:rsidRPr="00AF591D">
        <w:rPr>
          <w:rFonts w:asciiTheme="majorBidi" w:eastAsiaTheme="minorHAnsi" w:hAnsiTheme="majorBidi" w:cstheme="majorBidi"/>
          <w:sz w:val="24"/>
          <w:szCs w:val="24"/>
          <w:lang w:eastAsia="en-US"/>
        </w:rPr>
        <w:lastRenderedPageBreak/>
        <w:t>ç</w:t>
      </w:r>
      <w:proofErr w:type="gramEnd"/>
      <w:r w:rsidRPr="00AF591D">
        <w:rPr>
          <w:rFonts w:asciiTheme="majorBidi" w:eastAsiaTheme="minorHAnsi" w:hAnsiTheme="majorBidi" w:cstheme="majorBidi"/>
          <w:sz w:val="24"/>
          <w:szCs w:val="24"/>
          <w:lang w:eastAsia="en-US"/>
        </w:rPr>
        <w:t>) Taraflarca aksi kararlaştırılmadıkça arabuluculuk görüşmelerinde gizlilik ilkesine uyulması esastır. Bu durum, ticari sırlarınızın korunmasını sağlayacağı gibi, ticari itibarınızın zarar görmesini de engelleyecektir.</w:t>
      </w:r>
    </w:p>
    <w:p w14:paraId="4563D867"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 xml:space="preserve">Arabuluculuk bürosuna başvurulmasından son tutanağın düzenlendiği tarihe kadar geçen sürede zamanaşımı durur ve hak düşürücü süre işlemez. (HUAK </w:t>
      </w:r>
      <w:proofErr w:type="spellStart"/>
      <w:r w:rsidRPr="00AF591D">
        <w:rPr>
          <w:rFonts w:asciiTheme="majorBidi" w:eastAsiaTheme="minorHAnsi" w:hAnsiTheme="majorBidi" w:cstheme="majorBidi"/>
          <w:sz w:val="24"/>
          <w:szCs w:val="24"/>
          <w:lang w:eastAsia="en-US"/>
        </w:rPr>
        <w:t>md.</w:t>
      </w:r>
      <w:proofErr w:type="spellEnd"/>
      <w:r w:rsidRPr="00AF591D">
        <w:rPr>
          <w:rFonts w:asciiTheme="majorBidi" w:eastAsiaTheme="minorHAnsi" w:hAnsiTheme="majorBidi" w:cstheme="majorBidi"/>
          <w:sz w:val="24"/>
          <w:szCs w:val="24"/>
          <w:lang w:eastAsia="en-US"/>
        </w:rPr>
        <w:t xml:space="preserve"> 18A/15)</w:t>
      </w:r>
    </w:p>
    <w:p w14:paraId="2271C561"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 xml:space="preserve">Dava açılmadan önce ihtiyati tedbir kararı verilmesi hâlinde 6100 sayılı Kanunun 397’nci maddesinin birinci fıkrasında, ihtiyati haciz kararı verilmesi hâlinde ise 9/6/1932 tarihli ve 2004 sayılı İcra ve İflas Kanununun 264’üncü maddesinin birinci fıkrasında düzenlenen dava açma süresi, arabuluculuk bürosuna başvurulmasından son tutanağın düzenlendiği tarihe kadar işlemez. (HUAK </w:t>
      </w:r>
      <w:proofErr w:type="spellStart"/>
      <w:r w:rsidRPr="00AF591D">
        <w:rPr>
          <w:rFonts w:asciiTheme="majorBidi" w:eastAsiaTheme="minorHAnsi" w:hAnsiTheme="majorBidi" w:cstheme="majorBidi"/>
          <w:sz w:val="24"/>
          <w:szCs w:val="24"/>
          <w:lang w:eastAsia="en-US"/>
        </w:rPr>
        <w:t>md.</w:t>
      </w:r>
      <w:proofErr w:type="spellEnd"/>
      <w:r w:rsidRPr="00AF591D">
        <w:rPr>
          <w:rFonts w:asciiTheme="majorBidi" w:eastAsiaTheme="minorHAnsi" w:hAnsiTheme="majorBidi" w:cstheme="majorBidi"/>
          <w:sz w:val="24"/>
          <w:szCs w:val="24"/>
          <w:lang w:eastAsia="en-US"/>
        </w:rPr>
        <w:t xml:space="preserve"> 18A/16)</w:t>
      </w:r>
    </w:p>
    <w:p w14:paraId="01ADEB8A"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 xml:space="preserve">Davacı, arabuluculuk faaliyeti sonunda anlaşmaya varılamadığına ilişkin son tutanağın aslını veya arabulucu tarafından onaylanmış bir örneğini dava dilekçesine eklemek zorundadır. Bu zorunluluğa uyulmaması hâlinde mahkemece davacıya, son tutanağın bir haftalık kesin süre içinde mahkemeye sunulması gerektiği, aksi takdirde davanın usulden reddedileceği ihtarını içeren davetiye gönderilir. İhtarın gereği yerine getirilmez ise dava dilekçesi karşı tarafa tebliğe çıkarılmaksızın davanın usulden reddine karar verilir. Arabulucuya başvurulmadan dava açıldığının anlaşılması hâlinde herhangi bir işlem yapılmaksızın davanın, dava şartı yokluğu sebebiyle usulden reddine karar verilir. (HUAK </w:t>
      </w:r>
      <w:proofErr w:type="spellStart"/>
      <w:r w:rsidRPr="00AF591D">
        <w:rPr>
          <w:rFonts w:asciiTheme="majorBidi" w:eastAsiaTheme="minorHAnsi" w:hAnsiTheme="majorBidi" w:cstheme="majorBidi"/>
          <w:sz w:val="24"/>
          <w:szCs w:val="24"/>
          <w:lang w:eastAsia="en-US"/>
        </w:rPr>
        <w:t>md.</w:t>
      </w:r>
      <w:proofErr w:type="spellEnd"/>
      <w:r w:rsidRPr="00AF591D">
        <w:rPr>
          <w:rFonts w:asciiTheme="majorBidi" w:eastAsiaTheme="minorHAnsi" w:hAnsiTheme="majorBidi" w:cstheme="majorBidi"/>
          <w:sz w:val="24"/>
          <w:szCs w:val="24"/>
          <w:lang w:eastAsia="en-US"/>
        </w:rPr>
        <w:t xml:space="preserve"> 3/2)</w:t>
      </w:r>
    </w:p>
    <w:p w14:paraId="0831C3AF"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 xml:space="preserve">Arabulucu, yapılan başvuruyu görevlendirildiği tarihten itibaren altı hafta içinde sonuçlandırır. Bu süre zorunlu hâllerde arabulucu tarafından en fazla iki hafta uzatılabilir. (TTK </w:t>
      </w:r>
      <w:proofErr w:type="spellStart"/>
      <w:r w:rsidRPr="00AF591D">
        <w:rPr>
          <w:rFonts w:asciiTheme="majorBidi" w:eastAsiaTheme="minorHAnsi" w:hAnsiTheme="majorBidi" w:cstheme="majorBidi"/>
          <w:sz w:val="24"/>
          <w:szCs w:val="24"/>
          <w:lang w:eastAsia="en-US"/>
        </w:rPr>
        <w:t>md.</w:t>
      </w:r>
      <w:proofErr w:type="spellEnd"/>
      <w:r w:rsidRPr="00AF591D">
        <w:rPr>
          <w:rFonts w:asciiTheme="majorBidi" w:eastAsiaTheme="minorHAnsi" w:hAnsiTheme="majorBidi" w:cstheme="majorBidi"/>
          <w:sz w:val="24"/>
          <w:szCs w:val="24"/>
          <w:lang w:eastAsia="en-US"/>
        </w:rPr>
        <w:t xml:space="preserve"> 5A/2)</w:t>
      </w:r>
    </w:p>
    <w:p w14:paraId="782CCD0A"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Arabulucu, taraflara ulaşılamaması, taraflar katılmadığı için görüşme yapılamaması yahut yapılan görüşmeler sonucunda anlaşmaya varılması veya varılamaması hâllerinde arabuluculuk</w:t>
      </w:r>
      <w:r w:rsidRPr="00AF591D">
        <w:rPr>
          <w:rFonts w:asciiTheme="majorBidi" w:eastAsiaTheme="minorHAnsi" w:hAnsiTheme="majorBidi" w:cstheme="majorBidi"/>
          <w:sz w:val="24"/>
          <w:szCs w:val="24"/>
          <w:lang w:eastAsia="en-US"/>
        </w:rPr>
        <w:tab/>
        <w:t>faaliyetini sona erdirir ve son</w:t>
      </w:r>
      <w:r w:rsidRPr="00AF591D">
        <w:rPr>
          <w:rFonts w:asciiTheme="majorBidi" w:eastAsiaTheme="minorHAnsi" w:hAnsiTheme="majorBidi" w:cstheme="majorBidi"/>
          <w:sz w:val="24"/>
          <w:szCs w:val="24"/>
          <w:lang w:eastAsia="en-US"/>
        </w:rPr>
        <w:tab/>
        <w:t>tutanağı düzenleyerek durumu derhâl arabuluculuk bürosuna bildirir. (HUAK md.18A/10)</w:t>
      </w:r>
    </w:p>
    <w:p w14:paraId="69C2FFDE"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 xml:space="preserve">Tarafların arabuluculuk faaliyeti sonunda anlaşmaları hâlinde, arabuluculuk ücreti, Arabuluculuk Asgari Ücret Tarifesinin eki Arabuluculuk Ücret Tarifesinin İkinci Kısmına göre aksi kararlaştırılmadıkça taraflarca eşit şekilde karşılanır. Bu durumda ücret, Tarifenin Birinci Kısmında belirlenen iki saatlik ücret tutarından az olamaz. (HUAK </w:t>
      </w:r>
      <w:proofErr w:type="spellStart"/>
      <w:r w:rsidRPr="00AF591D">
        <w:rPr>
          <w:rFonts w:asciiTheme="majorBidi" w:eastAsiaTheme="minorHAnsi" w:hAnsiTheme="majorBidi" w:cstheme="majorBidi"/>
          <w:sz w:val="24"/>
          <w:szCs w:val="24"/>
          <w:lang w:eastAsia="en-US"/>
        </w:rPr>
        <w:t>md.</w:t>
      </w:r>
      <w:proofErr w:type="spellEnd"/>
      <w:r w:rsidRPr="00AF591D">
        <w:rPr>
          <w:rFonts w:asciiTheme="majorBidi" w:eastAsiaTheme="minorHAnsi" w:hAnsiTheme="majorBidi" w:cstheme="majorBidi"/>
          <w:sz w:val="24"/>
          <w:szCs w:val="24"/>
          <w:lang w:eastAsia="en-US"/>
        </w:rPr>
        <w:t xml:space="preserve"> 18A/12)</w:t>
      </w:r>
    </w:p>
    <w:p w14:paraId="78DED351"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Arabuluculuk faaliyeti sonunda taraflara ulaşılamaması, taraflar katılmadığı için görüşme yapılamaması veya iki saatten az süren görüşmeler sonunda tarafların anlaşamamaları hâllerinde, iki saatlik ücret tutarı Tarifenin Birinci Kısmına göre Adalet Bakanlığı bütçesinden ödenir. İki saatten fazla süren görüşmeler sonunda tarafların anlaşamamaları hâlinde ise iki saati aşan kısma ilişkin ücret aksi kararlaştırılmadıkça taraflarca eşit şekilde Tarifenin Birinci Kısmına göre karşılanır. Adalet Bakanlığı bütçesinden ödenen ve taraflarca karşılanan arabuluculuk ücreti, yargılama giderlerinden sayılır. (HUAK md.18A/13)</w:t>
      </w:r>
    </w:p>
    <w:p w14:paraId="175DCB4E"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 xml:space="preserve">Arabuluculuk müzakerelerine taraflar </w:t>
      </w:r>
      <w:r w:rsidRPr="00AF591D">
        <w:rPr>
          <w:rFonts w:asciiTheme="majorBidi" w:eastAsiaTheme="minorHAnsi" w:hAnsiTheme="majorBidi" w:cstheme="majorBidi"/>
          <w:b/>
          <w:bCs/>
          <w:sz w:val="24"/>
          <w:szCs w:val="24"/>
          <w:lang w:eastAsia="en-US"/>
        </w:rPr>
        <w:t>bizzat, kanuni temsilcileri</w:t>
      </w:r>
      <w:r w:rsidRPr="00AF591D">
        <w:rPr>
          <w:rFonts w:asciiTheme="majorBidi" w:eastAsiaTheme="minorHAnsi" w:hAnsiTheme="majorBidi" w:cstheme="majorBidi"/>
          <w:sz w:val="24"/>
          <w:szCs w:val="24"/>
          <w:lang w:eastAsia="en-US"/>
        </w:rPr>
        <w:t xml:space="preserve"> veya </w:t>
      </w:r>
      <w:r w:rsidRPr="00AF591D">
        <w:rPr>
          <w:rFonts w:asciiTheme="majorBidi" w:eastAsiaTheme="minorHAnsi" w:hAnsiTheme="majorBidi" w:cstheme="majorBidi"/>
          <w:b/>
          <w:bCs/>
          <w:sz w:val="24"/>
          <w:szCs w:val="24"/>
          <w:lang w:eastAsia="en-US"/>
        </w:rPr>
        <w:t xml:space="preserve">avukatları </w:t>
      </w:r>
      <w:r w:rsidRPr="00AF591D">
        <w:rPr>
          <w:rFonts w:asciiTheme="majorBidi" w:eastAsiaTheme="minorHAnsi" w:hAnsiTheme="majorBidi" w:cstheme="majorBidi"/>
          <w:sz w:val="24"/>
          <w:szCs w:val="24"/>
          <w:lang w:eastAsia="en-US"/>
        </w:rPr>
        <w:t xml:space="preserve">aracılığıyla katılabilirler. Uyuşmazlığın çözümüne katkı sağlayabilecek uzman kişiler de müzakerelerde hazır bulundurulabilir. (HUAK </w:t>
      </w:r>
      <w:proofErr w:type="spellStart"/>
      <w:r w:rsidRPr="00AF591D">
        <w:rPr>
          <w:rFonts w:asciiTheme="majorBidi" w:eastAsiaTheme="minorHAnsi" w:hAnsiTheme="majorBidi" w:cstheme="majorBidi"/>
          <w:sz w:val="24"/>
          <w:szCs w:val="24"/>
          <w:lang w:eastAsia="en-US"/>
        </w:rPr>
        <w:t>md.</w:t>
      </w:r>
      <w:proofErr w:type="spellEnd"/>
      <w:r w:rsidRPr="00AF591D">
        <w:rPr>
          <w:rFonts w:asciiTheme="majorBidi" w:eastAsiaTheme="minorHAnsi" w:hAnsiTheme="majorBidi" w:cstheme="majorBidi"/>
          <w:sz w:val="24"/>
          <w:szCs w:val="24"/>
          <w:lang w:eastAsia="en-US"/>
        </w:rPr>
        <w:t xml:space="preserve"> 15/6)</w:t>
      </w:r>
    </w:p>
    <w:p w14:paraId="044D3300"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 xml:space="preserve">Arabuluculuk görüşmeleri, taraflarca aksi kararlaştırılmadıkça, arabulucuyu görevlendiren büronun bağlı bulunduğu adli yargı ilk derece mahkemesi adalet komisyonunun yetki alanı içinde yürütülür. (HUAK </w:t>
      </w:r>
      <w:proofErr w:type="spellStart"/>
      <w:r w:rsidRPr="00AF591D">
        <w:rPr>
          <w:rFonts w:asciiTheme="majorBidi" w:eastAsiaTheme="minorHAnsi" w:hAnsiTheme="majorBidi" w:cstheme="majorBidi"/>
          <w:sz w:val="24"/>
          <w:szCs w:val="24"/>
          <w:lang w:eastAsia="en-US"/>
        </w:rPr>
        <w:t>md.</w:t>
      </w:r>
      <w:proofErr w:type="spellEnd"/>
      <w:r w:rsidRPr="00AF591D">
        <w:rPr>
          <w:rFonts w:asciiTheme="majorBidi" w:eastAsiaTheme="minorHAnsi" w:hAnsiTheme="majorBidi" w:cstheme="majorBidi"/>
          <w:sz w:val="24"/>
          <w:szCs w:val="24"/>
          <w:lang w:eastAsia="en-US"/>
        </w:rPr>
        <w:t xml:space="preserve"> 18A/17)</w:t>
      </w:r>
    </w:p>
    <w:p w14:paraId="20AA3B4D" w14:textId="77777777" w:rsidR="00AF591D" w:rsidRPr="00AF591D" w:rsidRDefault="00AF591D" w:rsidP="00AF591D">
      <w:pPr>
        <w:ind w:firstLine="708"/>
        <w:jc w:val="both"/>
        <w:rPr>
          <w:rFonts w:asciiTheme="majorBidi" w:eastAsiaTheme="minorHAnsi" w:hAnsiTheme="majorBidi" w:cstheme="majorBidi"/>
          <w:sz w:val="24"/>
          <w:szCs w:val="24"/>
          <w:lang w:eastAsia="en-US"/>
        </w:rPr>
      </w:pPr>
    </w:p>
    <w:p w14:paraId="3DB1CA92" w14:textId="77777777" w:rsidR="00AF591D" w:rsidRPr="00AF591D" w:rsidRDefault="00AF591D" w:rsidP="00AF591D">
      <w:pPr>
        <w:jc w:val="both"/>
        <w:rPr>
          <w:rFonts w:asciiTheme="majorBidi" w:eastAsiaTheme="minorHAnsi" w:hAnsiTheme="majorBidi" w:cstheme="majorBidi"/>
          <w:b/>
          <w:bCs/>
          <w:sz w:val="28"/>
          <w:szCs w:val="28"/>
          <w:lang w:eastAsia="en-US"/>
        </w:rPr>
      </w:pPr>
      <w:r w:rsidRPr="00AF591D">
        <w:rPr>
          <w:rFonts w:asciiTheme="majorBidi" w:eastAsiaTheme="minorHAnsi" w:hAnsiTheme="majorBidi" w:cstheme="majorBidi"/>
          <w:b/>
          <w:bCs/>
          <w:sz w:val="28"/>
          <w:szCs w:val="28"/>
          <w:lang w:eastAsia="en-US"/>
        </w:rPr>
        <w:t>Uyuşmazlığın tarafları olarak sizlerle yapacağımız ilk toplantı *** tarihinde saat **:00’te ** Arabuluculuk Bürosunda (Covid-19 salgının devam etmesi halinde telekonferans aracılığı ile) gerçekleşecektir.</w:t>
      </w:r>
    </w:p>
    <w:p w14:paraId="68B51575"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 xml:space="preserve">Taraflardan birinin geçerli bir mazeret göstermeksizin ilk toplantıya katılmaması sebebiyle arabuluculuk faaliyetinin sona ermesi durumunda toplantıya katılmayan taraf, son tutanakta belirtilir ve </w:t>
      </w:r>
      <w:r w:rsidRPr="00AF591D">
        <w:rPr>
          <w:rFonts w:asciiTheme="majorBidi" w:eastAsiaTheme="minorHAnsi" w:hAnsiTheme="majorBidi" w:cstheme="majorBidi"/>
          <w:b/>
          <w:bCs/>
          <w:sz w:val="24"/>
          <w:szCs w:val="24"/>
          <w:lang w:eastAsia="en-US"/>
        </w:rPr>
        <w:t>bu taraf davada kısmen veya tamamen haklı çıksa bile yargılama giderinin tamamından sorumlu tutulur.</w:t>
      </w:r>
      <w:r w:rsidRPr="00AF591D">
        <w:rPr>
          <w:rFonts w:asciiTheme="majorBidi" w:eastAsiaTheme="minorHAnsi" w:hAnsiTheme="majorBidi" w:cstheme="majorBidi"/>
          <w:sz w:val="24"/>
          <w:szCs w:val="24"/>
          <w:lang w:eastAsia="en-US"/>
        </w:rPr>
        <w:t xml:space="preserve"> Ayrıca bu taraf </w:t>
      </w:r>
      <w:r w:rsidRPr="00AF591D">
        <w:rPr>
          <w:rFonts w:asciiTheme="majorBidi" w:eastAsiaTheme="minorHAnsi" w:hAnsiTheme="majorBidi" w:cstheme="majorBidi"/>
          <w:b/>
          <w:bCs/>
          <w:sz w:val="24"/>
          <w:szCs w:val="24"/>
          <w:lang w:eastAsia="en-US"/>
        </w:rPr>
        <w:t xml:space="preserve">lehine vekâlet ücretine hükmedilmez. </w:t>
      </w:r>
      <w:r w:rsidRPr="00AF591D">
        <w:rPr>
          <w:rFonts w:asciiTheme="majorBidi" w:eastAsiaTheme="minorHAnsi" w:hAnsiTheme="majorBidi" w:cstheme="majorBidi"/>
          <w:sz w:val="24"/>
          <w:szCs w:val="24"/>
          <w:lang w:eastAsia="en-US"/>
        </w:rPr>
        <w:t>Her iki tarafın da ilk toplantıya katılmaması sebebiyle sona eren arabuluculuk faaliyeti üzerine açılacak davalarda tarafların yaptıkları yargılama giderleri kendi üzerlerinde bırakılır. (HUAK md.18A/11)</w:t>
      </w:r>
    </w:p>
    <w:p w14:paraId="06052238" w14:textId="77777777" w:rsidR="00AF591D" w:rsidRPr="00AF591D" w:rsidRDefault="00AF591D" w:rsidP="00AF591D">
      <w:pPr>
        <w:ind w:firstLine="708"/>
        <w:jc w:val="both"/>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Arabuluculuk görüşmelerine, gerçek kişilerin kimlik belgesi, şirket yetkililerinin kimlik belgesi ve imza sirküleri, avukatların kimlik belgesi ve arabuluculuk görüşmelerine katılma konusunda özel yetki bulunan vekâletname ile toplantıya katılması gerekmektedir.</w:t>
      </w:r>
    </w:p>
    <w:p w14:paraId="0DFE635D" w14:textId="77777777" w:rsidR="00AF591D" w:rsidRPr="00AF591D" w:rsidRDefault="00AF591D" w:rsidP="00AF591D">
      <w:pPr>
        <w:ind w:left="5664" w:firstLine="708"/>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ARABULUCU</w:t>
      </w:r>
    </w:p>
    <w:p w14:paraId="73368FEB" w14:textId="77777777" w:rsidR="00AF591D" w:rsidRPr="00AF591D" w:rsidRDefault="00AF591D" w:rsidP="00AF591D">
      <w:pPr>
        <w:rPr>
          <w:rFonts w:asciiTheme="majorBidi" w:eastAsiaTheme="minorHAnsi" w:hAnsiTheme="majorBidi" w:cstheme="majorBidi"/>
          <w:sz w:val="24"/>
          <w:szCs w:val="24"/>
          <w:lang w:eastAsia="en-US"/>
        </w:rPr>
      </w:pPr>
      <w:r w:rsidRPr="00AF591D">
        <w:rPr>
          <w:rFonts w:asciiTheme="majorBidi" w:eastAsiaTheme="minorHAnsi" w:hAnsiTheme="majorBidi" w:cstheme="majorBidi"/>
          <w:sz w:val="24"/>
          <w:szCs w:val="24"/>
          <w:lang w:eastAsia="en-US"/>
        </w:rPr>
        <w:tab/>
      </w:r>
      <w:r w:rsidRPr="00AF591D">
        <w:rPr>
          <w:rFonts w:asciiTheme="majorBidi" w:eastAsiaTheme="minorHAnsi" w:hAnsiTheme="majorBidi" w:cstheme="majorBidi"/>
          <w:sz w:val="24"/>
          <w:szCs w:val="24"/>
          <w:lang w:eastAsia="en-US"/>
        </w:rPr>
        <w:tab/>
      </w:r>
      <w:r w:rsidRPr="00AF591D">
        <w:rPr>
          <w:rFonts w:asciiTheme="majorBidi" w:eastAsiaTheme="minorHAnsi" w:hAnsiTheme="majorBidi" w:cstheme="majorBidi"/>
          <w:sz w:val="24"/>
          <w:szCs w:val="24"/>
          <w:lang w:eastAsia="en-US"/>
        </w:rPr>
        <w:tab/>
      </w:r>
      <w:r w:rsidRPr="00AF591D">
        <w:rPr>
          <w:rFonts w:asciiTheme="majorBidi" w:eastAsiaTheme="minorHAnsi" w:hAnsiTheme="majorBidi" w:cstheme="majorBidi"/>
          <w:sz w:val="24"/>
          <w:szCs w:val="24"/>
          <w:lang w:eastAsia="en-US"/>
        </w:rPr>
        <w:tab/>
      </w:r>
      <w:r w:rsidRPr="00AF591D">
        <w:rPr>
          <w:rFonts w:asciiTheme="majorBidi" w:eastAsiaTheme="minorHAnsi" w:hAnsiTheme="majorBidi" w:cstheme="majorBidi"/>
          <w:sz w:val="24"/>
          <w:szCs w:val="24"/>
          <w:lang w:eastAsia="en-US"/>
        </w:rPr>
        <w:tab/>
      </w:r>
      <w:r w:rsidRPr="00AF591D">
        <w:rPr>
          <w:rFonts w:asciiTheme="majorBidi" w:eastAsiaTheme="minorHAnsi" w:hAnsiTheme="majorBidi" w:cstheme="majorBidi"/>
          <w:sz w:val="24"/>
          <w:szCs w:val="24"/>
          <w:lang w:eastAsia="en-US"/>
        </w:rPr>
        <w:tab/>
        <w:t xml:space="preserve">        </w:t>
      </w:r>
      <w:r w:rsidRPr="00AF591D">
        <w:rPr>
          <w:rFonts w:asciiTheme="majorBidi" w:eastAsiaTheme="minorHAnsi" w:hAnsiTheme="majorBidi" w:cstheme="majorBidi"/>
          <w:sz w:val="24"/>
          <w:szCs w:val="24"/>
          <w:lang w:eastAsia="en-US"/>
        </w:rPr>
        <w:tab/>
        <w:t xml:space="preserve">      Av. ***</w:t>
      </w:r>
    </w:p>
    <w:p w14:paraId="0F3C1FDD" w14:textId="77777777" w:rsidR="00AF591D" w:rsidRPr="00AF591D" w:rsidRDefault="00AF591D" w:rsidP="00AF591D">
      <w:pPr>
        <w:rPr>
          <w:rFonts w:asciiTheme="majorBidi" w:eastAsiaTheme="minorHAnsi" w:hAnsiTheme="majorBidi" w:cstheme="majorBidi"/>
          <w:sz w:val="24"/>
          <w:szCs w:val="24"/>
          <w:lang w:eastAsia="en-US"/>
        </w:rPr>
      </w:pPr>
    </w:p>
    <w:p w14:paraId="109F0D92" w14:textId="77777777" w:rsidR="00AF591D" w:rsidRPr="00AF591D" w:rsidRDefault="00AF591D" w:rsidP="00AF591D">
      <w:pPr>
        <w:rPr>
          <w:rFonts w:asciiTheme="majorBidi" w:eastAsiaTheme="minorHAnsi" w:hAnsiTheme="majorBidi" w:cstheme="majorBidi"/>
          <w:sz w:val="24"/>
          <w:szCs w:val="24"/>
          <w:lang w:eastAsia="en-US"/>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AF591D" w:rsidRPr="00AF591D" w14:paraId="791DF378" w14:textId="77777777" w:rsidTr="00CC4A52">
        <w:tc>
          <w:tcPr>
            <w:tcW w:w="4390" w:type="dxa"/>
          </w:tcPr>
          <w:p w14:paraId="40D85AED" w14:textId="77777777" w:rsidR="00AF591D" w:rsidRPr="00AF591D" w:rsidRDefault="00AF591D" w:rsidP="00AF591D">
            <w:pPr>
              <w:jc w:val="both"/>
              <w:rPr>
                <w:rFonts w:asciiTheme="majorBidi" w:hAnsiTheme="majorBidi" w:cstheme="majorBidi"/>
                <w:sz w:val="24"/>
                <w:szCs w:val="24"/>
              </w:rPr>
            </w:pPr>
            <w:r w:rsidRPr="00AF591D">
              <w:rPr>
                <w:rFonts w:asciiTheme="majorBidi" w:hAnsiTheme="majorBidi" w:cstheme="majorBidi"/>
                <w:b/>
                <w:bCs/>
                <w:sz w:val="24"/>
                <w:szCs w:val="24"/>
                <w:u w:val="single"/>
              </w:rPr>
              <w:t>ADRES</w:t>
            </w:r>
            <w:r w:rsidRPr="00AF591D">
              <w:rPr>
                <w:rFonts w:asciiTheme="majorBidi" w:hAnsiTheme="majorBidi" w:cstheme="majorBidi"/>
                <w:b/>
                <w:bCs/>
                <w:sz w:val="24"/>
                <w:szCs w:val="24"/>
                <w:u w:val="single"/>
              </w:rPr>
              <w:tab/>
              <w:t>:</w:t>
            </w:r>
            <w:r w:rsidRPr="00AF591D">
              <w:rPr>
                <w:rFonts w:asciiTheme="majorBidi" w:hAnsiTheme="majorBidi" w:cstheme="majorBidi"/>
                <w:sz w:val="24"/>
                <w:szCs w:val="24"/>
              </w:rPr>
              <w:t xml:space="preserve"> </w:t>
            </w:r>
          </w:p>
          <w:p w14:paraId="47251B7A" w14:textId="77777777" w:rsidR="00AF591D" w:rsidRPr="00AF591D" w:rsidRDefault="00AF591D" w:rsidP="00AF591D">
            <w:pPr>
              <w:jc w:val="both"/>
              <w:rPr>
                <w:rFonts w:asciiTheme="majorBidi" w:hAnsiTheme="majorBidi" w:cstheme="majorBidi"/>
                <w:sz w:val="24"/>
                <w:szCs w:val="24"/>
              </w:rPr>
            </w:pPr>
            <w:r w:rsidRPr="00AF591D">
              <w:rPr>
                <w:rFonts w:asciiTheme="majorBidi" w:hAnsiTheme="majorBidi" w:cstheme="majorBidi"/>
                <w:b/>
                <w:bCs/>
                <w:sz w:val="24"/>
                <w:szCs w:val="24"/>
                <w:u w:val="single"/>
              </w:rPr>
              <w:t>GSM</w:t>
            </w:r>
            <w:r w:rsidRPr="00AF591D">
              <w:rPr>
                <w:rFonts w:asciiTheme="majorBidi" w:hAnsiTheme="majorBidi" w:cstheme="majorBidi"/>
                <w:b/>
                <w:bCs/>
                <w:sz w:val="24"/>
                <w:szCs w:val="24"/>
                <w:u w:val="single"/>
              </w:rPr>
              <w:tab/>
            </w:r>
            <w:r w:rsidRPr="00AF591D">
              <w:rPr>
                <w:rFonts w:asciiTheme="majorBidi" w:hAnsiTheme="majorBidi" w:cstheme="majorBidi"/>
                <w:b/>
                <w:bCs/>
                <w:sz w:val="24"/>
                <w:szCs w:val="24"/>
                <w:u w:val="single"/>
              </w:rPr>
              <w:tab/>
              <w:t>:</w:t>
            </w:r>
            <w:r w:rsidRPr="00AF591D">
              <w:rPr>
                <w:rFonts w:asciiTheme="majorBidi" w:hAnsiTheme="majorBidi" w:cstheme="majorBidi"/>
                <w:sz w:val="24"/>
                <w:szCs w:val="24"/>
              </w:rPr>
              <w:t xml:space="preserve"> </w:t>
            </w:r>
          </w:p>
          <w:p w14:paraId="759BE7F1" w14:textId="77777777" w:rsidR="00AF591D" w:rsidRPr="00AF591D" w:rsidRDefault="00AF591D" w:rsidP="00AF591D">
            <w:pPr>
              <w:rPr>
                <w:rFonts w:asciiTheme="majorBidi" w:hAnsiTheme="majorBidi" w:cstheme="majorBidi"/>
                <w:sz w:val="24"/>
                <w:szCs w:val="24"/>
              </w:rPr>
            </w:pPr>
          </w:p>
        </w:tc>
      </w:tr>
    </w:tbl>
    <w:p w14:paraId="0D124A98" w14:textId="77777777" w:rsidR="00AF591D" w:rsidRPr="00AF591D" w:rsidRDefault="00AF591D" w:rsidP="00AF591D">
      <w:pPr>
        <w:rPr>
          <w:rFonts w:asciiTheme="majorBidi" w:eastAsiaTheme="minorHAnsi" w:hAnsiTheme="majorBidi" w:cstheme="majorBidi"/>
          <w:sz w:val="24"/>
          <w:szCs w:val="24"/>
          <w:lang w:eastAsia="en-US"/>
        </w:rPr>
      </w:pPr>
    </w:p>
    <w:p w14:paraId="11C45069" w14:textId="77777777" w:rsidR="00AF591D" w:rsidRPr="00AF591D" w:rsidRDefault="00AF591D" w:rsidP="00AF591D">
      <w:pPr>
        <w:rPr>
          <w:rFonts w:asciiTheme="majorBidi" w:eastAsiaTheme="minorHAnsi" w:hAnsiTheme="majorBidi" w:cstheme="majorBidi"/>
          <w:sz w:val="24"/>
          <w:szCs w:val="24"/>
          <w:lang w:eastAsia="en-US"/>
        </w:rPr>
      </w:pPr>
    </w:p>
    <w:p w14:paraId="7C6485BD" w14:textId="77777777" w:rsidR="000E6C35" w:rsidRDefault="000E6C35"/>
    <w:sectPr w:rsidR="000E6C3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C63CF" w14:textId="77777777" w:rsidR="00000000" w:rsidRDefault="00C3340F">
      <w:pPr>
        <w:spacing w:after="0" w:line="240" w:lineRule="auto"/>
      </w:pPr>
      <w:r>
        <w:separator/>
      </w:r>
    </w:p>
  </w:endnote>
  <w:endnote w:type="continuationSeparator" w:id="0">
    <w:p w14:paraId="68F32BEA" w14:textId="77777777" w:rsidR="00000000" w:rsidRDefault="00C33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8765970"/>
      <w:docPartObj>
        <w:docPartGallery w:val="Page Numbers (Bottom of Page)"/>
        <w:docPartUnique/>
      </w:docPartObj>
    </w:sdtPr>
    <w:sdtEndPr/>
    <w:sdtContent>
      <w:sdt>
        <w:sdtPr>
          <w:id w:val="1728636285"/>
          <w:docPartObj>
            <w:docPartGallery w:val="Page Numbers (Top of Page)"/>
            <w:docPartUnique/>
          </w:docPartObj>
        </w:sdtPr>
        <w:sdtEndPr/>
        <w:sdtContent>
          <w:p w14:paraId="334D7F8C" w14:textId="77777777" w:rsidR="00413657" w:rsidRDefault="00AF591D">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F22E890" w14:textId="77777777" w:rsidR="00413657" w:rsidRDefault="00C3340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67620" w14:textId="77777777" w:rsidR="00000000" w:rsidRDefault="00C3340F">
      <w:pPr>
        <w:spacing w:after="0" w:line="240" w:lineRule="auto"/>
      </w:pPr>
      <w:r>
        <w:separator/>
      </w:r>
    </w:p>
  </w:footnote>
  <w:footnote w:type="continuationSeparator" w:id="0">
    <w:p w14:paraId="5342F864" w14:textId="77777777" w:rsidR="00000000" w:rsidRDefault="00C334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1D"/>
    <w:rsid w:val="000E6C35"/>
    <w:rsid w:val="00AF591D"/>
    <w:rsid w:val="00C3340F"/>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4E9E6"/>
  <w15:chartTrackingRefBased/>
  <w15:docId w15:val="{8994CF5D-4EBD-4CEB-824A-7F76DA08A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AF591D"/>
    <w:pPr>
      <w:tabs>
        <w:tab w:val="center" w:pos="4536"/>
        <w:tab w:val="right" w:pos="9072"/>
      </w:tabs>
      <w:spacing w:after="0" w:line="240" w:lineRule="auto"/>
    </w:pPr>
    <w:rPr>
      <w:rFonts w:eastAsiaTheme="minorHAnsi"/>
      <w:lang w:eastAsia="en-US"/>
    </w:rPr>
  </w:style>
  <w:style w:type="character" w:customStyle="1" w:styleId="AltBilgiChar">
    <w:name w:val="Alt Bilgi Char"/>
    <w:basedOn w:val="VarsaylanParagrafYazTipi"/>
    <w:link w:val="AltBilgi"/>
    <w:uiPriority w:val="99"/>
    <w:rsid w:val="00AF591D"/>
    <w:rPr>
      <w:rFonts w:eastAsiaTheme="minorHAnsi"/>
      <w:lang w:eastAsia="en-US"/>
    </w:rPr>
  </w:style>
  <w:style w:type="table" w:styleId="TabloKlavuzu">
    <w:name w:val="Table Grid"/>
    <w:basedOn w:val="NormalTablo"/>
    <w:uiPriority w:val="39"/>
    <w:rsid w:val="00AF591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v.muhammeddagli@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959</Words>
  <Characters>5470</Characters>
  <Application>Microsoft Office Word</Application>
  <DocSecurity>0</DocSecurity>
  <Lines>45</Lines>
  <Paragraphs>12</Paragraphs>
  <ScaleCrop>false</ScaleCrop>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Güç</dc:creator>
  <cp:keywords/>
  <dc:description/>
  <cp:lastModifiedBy>Abdullah Güç</cp:lastModifiedBy>
  <cp:revision>2</cp:revision>
  <dcterms:created xsi:type="dcterms:W3CDTF">2020-03-22T19:41:00Z</dcterms:created>
  <dcterms:modified xsi:type="dcterms:W3CDTF">2020-03-22T21:39:00Z</dcterms:modified>
</cp:coreProperties>
</file>